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C62" w:rsidRDefault="00662551">
      <w:pPr>
        <w:pStyle w:val="3"/>
        <w:spacing w:line="360" w:lineRule="auto"/>
        <w:jc w:val="center"/>
        <w:rPr>
          <w:rFonts w:ascii="等线" w:eastAsia="等线" w:hAnsi="等线"/>
          <w:b/>
          <w:sz w:val="24"/>
          <w:szCs w:val="24"/>
        </w:rPr>
      </w:pPr>
      <w:bookmarkStart w:id="0" w:name="_Toc514320322"/>
      <w:r>
        <w:rPr>
          <w:rFonts w:ascii="等线" w:eastAsia="等线" w:hAnsi="等线" w:hint="eastAsia"/>
          <w:b/>
          <w:sz w:val="24"/>
          <w:szCs w:val="24"/>
        </w:rPr>
        <w:t>中脉公益基金会关联方交易管理制度</w:t>
      </w:r>
      <w:bookmarkEnd w:id="0"/>
    </w:p>
    <w:p w:rsidR="00D66C62" w:rsidRDefault="00662551">
      <w:pPr>
        <w:pStyle w:val="3"/>
        <w:spacing w:line="360" w:lineRule="auto"/>
        <w:jc w:val="center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（</w:t>
      </w:r>
      <w:r>
        <w:rPr>
          <w:rFonts w:ascii="等线" w:eastAsia="等线" w:hAnsi="等线" w:hint="eastAsia"/>
          <w:sz w:val="24"/>
          <w:szCs w:val="24"/>
        </w:rPr>
        <w:t>此制度需对照民政部对关联交易的管理办法进行修改）</w:t>
      </w:r>
    </w:p>
    <w:p w:rsidR="00D66C62" w:rsidRDefault="00662551">
      <w:pPr>
        <w:pStyle w:val="3"/>
        <w:spacing w:line="360" w:lineRule="auto"/>
        <w:jc w:val="center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 xml:space="preserve">　　</w:t>
      </w:r>
    </w:p>
    <w:p w:rsidR="00D66C62" w:rsidRDefault="0066255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为完善本基金会治理结构，规范关联交易，根据《基金会管理条例》、本基金会章程等相关规定，制订本暂行办法。</w:t>
      </w:r>
    </w:p>
    <w:p w:rsidR="00D66C62" w:rsidRDefault="0066255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本基金会的关联交易应当遵循以下基本原则：</w:t>
      </w:r>
    </w:p>
    <w:p w:rsidR="00D66C62" w:rsidRDefault="00662551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本基金会关联交易应遵守法律、法规、国家会计制度规定，符合合规、诚信和公允的原则；关联交易原则上不得偏离市场独立第三方的价格或者收费标准；</w:t>
      </w:r>
    </w:p>
    <w:p w:rsidR="00D66C62" w:rsidRDefault="00662551">
      <w:pPr>
        <w:pStyle w:val="a3"/>
        <w:numPr>
          <w:ilvl w:val="1"/>
          <w:numId w:val="2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与关联方有任何利害关系的理事，在理事会会上就该事项进行表决时，应当回避；</w:t>
      </w:r>
    </w:p>
    <w:p w:rsidR="00D66C62" w:rsidRDefault="00D66C6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D66C6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66255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本基金会关联方包括发起人、主要捐赠人、理事</w:t>
      </w:r>
      <w:r w:rsidR="004E6066">
        <w:rPr>
          <w:rFonts w:ascii="等线" w:eastAsia="等线" w:hAnsi="等线" w:hint="eastAsia"/>
          <w:sz w:val="24"/>
          <w:szCs w:val="24"/>
        </w:rPr>
        <w:t>监事</w:t>
      </w:r>
      <w:r>
        <w:rPr>
          <w:rFonts w:ascii="等线" w:eastAsia="等线" w:hAnsi="等线" w:hint="eastAsia"/>
          <w:sz w:val="24"/>
          <w:szCs w:val="24"/>
        </w:rPr>
        <w:t>及其近亲属关联</w:t>
      </w:r>
      <w:r>
        <w:rPr>
          <w:rFonts w:ascii="等线" w:eastAsia="等线" w:hAnsi="等线" w:hint="eastAsia"/>
          <w:sz w:val="24"/>
          <w:szCs w:val="24"/>
        </w:rPr>
        <w:t>单位、</w:t>
      </w:r>
      <w:r>
        <w:rPr>
          <w:rFonts w:ascii="等线" w:eastAsia="等线" w:hAnsi="等线" w:hint="eastAsia"/>
          <w:sz w:val="24"/>
          <w:szCs w:val="24"/>
        </w:rPr>
        <w:t>其他与本基金会存在控制、共同控制或者重大影响关系的个人或组织</w:t>
      </w:r>
      <w:r>
        <w:rPr>
          <w:rFonts w:ascii="等线" w:eastAsia="等线" w:hAnsi="等线" w:hint="eastAsia"/>
          <w:sz w:val="24"/>
          <w:szCs w:val="24"/>
        </w:rPr>
        <w:t>。</w:t>
      </w:r>
    </w:p>
    <w:p w:rsidR="00D66C62" w:rsidRDefault="0066255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本暂行办法所指关联交易包括但不限于下列事项：</w:t>
      </w:r>
    </w:p>
    <w:p w:rsidR="00D66C62" w:rsidRDefault="00662551">
      <w:pPr>
        <w:pStyle w:val="a3"/>
        <w:numPr>
          <w:ilvl w:val="1"/>
          <w:numId w:val="4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基金会出资购买或向基金会销售商品和其他资产；</w:t>
      </w:r>
    </w:p>
    <w:p w:rsidR="00D66C62" w:rsidRDefault="00662551">
      <w:pPr>
        <w:pStyle w:val="a3"/>
        <w:numPr>
          <w:ilvl w:val="1"/>
          <w:numId w:val="4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向基金会提供或接受需要支付酬劳的劳务；</w:t>
      </w:r>
    </w:p>
    <w:p w:rsidR="00D66C62" w:rsidRDefault="00662551">
      <w:pPr>
        <w:pStyle w:val="a3"/>
        <w:numPr>
          <w:ilvl w:val="1"/>
          <w:numId w:val="4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有偿代理；</w:t>
      </w:r>
    </w:p>
    <w:p w:rsidR="00D66C62" w:rsidRDefault="00662551">
      <w:pPr>
        <w:pStyle w:val="a3"/>
        <w:numPr>
          <w:ilvl w:val="1"/>
          <w:numId w:val="4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有偿租赁；</w:t>
      </w:r>
    </w:p>
    <w:p w:rsidR="00D66C62" w:rsidRDefault="00662551">
      <w:pPr>
        <w:pStyle w:val="a3"/>
        <w:numPr>
          <w:ilvl w:val="1"/>
          <w:numId w:val="4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基金会向关联人提供资金（包括以现金或实物形式）；</w:t>
      </w:r>
    </w:p>
    <w:p w:rsidR="00D66C62" w:rsidRDefault="00662551">
      <w:pPr>
        <w:pStyle w:val="a3"/>
        <w:numPr>
          <w:ilvl w:val="1"/>
          <w:numId w:val="4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关联双方共同投资；</w:t>
      </w:r>
    </w:p>
    <w:p w:rsidR="00D66C62" w:rsidRDefault="00662551">
      <w:pPr>
        <w:pStyle w:val="a3"/>
        <w:numPr>
          <w:ilvl w:val="1"/>
          <w:numId w:val="4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非货币性交易；</w:t>
      </w:r>
    </w:p>
    <w:p w:rsidR="00D66C62" w:rsidRDefault="00D66C62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D66C62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D66C62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D66C62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662551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本基金会禁止的关联交易行为包括：</w:t>
      </w:r>
    </w:p>
    <w:p w:rsidR="00D66C62" w:rsidRDefault="00662551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向关联方自然人和关联法人提供担保；</w:t>
      </w:r>
    </w:p>
    <w:p w:rsidR="00D66C62" w:rsidRDefault="00662551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其他禁止的关联交易行为；</w:t>
      </w:r>
    </w:p>
    <w:p w:rsidR="00D66C62" w:rsidRDefault="00D66C62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D66C62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D66C62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D66C62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D66C62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66255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关联交易的决策权限：本基金会与其关联方达成的关联交易总额应由</w:t>
      </w:r>
      <w:r>
        <w:rPr>
          <w:rFonts w:ascii="等线" w:eastAsia="等线" w:hAnsi="等线" w:hint="eastAsia"/>
          <w:sz w:val="24"/>
          <w:szCs w:val="24"/>
        </w:rPr>
        <w:t>基金</w:t>
      </w:r>
      <w:r>
        <w:rPr>
          <w:rFonts w:ascii="等线" w:eastAsia="等线" w:hAnsi="等线" w:hint="eastAsia"/>
          <w:sz w:val="24"/>
          <w:szCs w:val="24"/>
        </w:rPr>
        <w:t>会领导集体审批决策。</w:t>
      </w:r>
    </w:p>
    <w:p w:rsidR="00D66C62" w:rsidRDefault="0066255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本基金会关联人在基金会签署涉及关联交易的协议时，应当采取必要的回避措施：</w:t>
      </w:r>
    </w:p>
    <w:p w:rsidR="00D66C62" w:rsidRDefault="00662551">
      <w:pPr>
        <w:pStyle w:val="a3"/>
        <w:numPr>
          <w:ilvl w:val="1"/>
          <w:numId w:val="8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任何个人只能代表一方签署协议；</w:t>
      </w:r>
    </w:p>
    <w:p w:rsidR="00D66C62" w:rsidRDefault="00662551">
      <w:pPr>
        <w:pStyle w:val="a3"/>
        <w:numPr>
          <w:ilvl w:val="1"/>
          <w:numId w:val="8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关联人不得以任何方式干预本基金会的决定。</w:t>
      </w:r>
    </w:p>
    <w:p w:rsidR="00662551" w:rsidRDefault="00662551">
      <w:pPr>
        <w:pStyle w:val="a3"/>
        <w:numPr>
          <w:ilvl w:val="1"/>
          <w:numId w:val="8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公允价格</w:t>
      </w:r>
      <w:bookmarkStart w:id="1" w:name="_GoBack"/>
      <w:bookmarkEnd w:id="1"/>
    </w:p>
    <w:p w:rsidR="00D66C62" w:rsidRDefault="00D66C62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D66C62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D66C62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D66C62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D66C62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D66C62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D66C62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  <w:vanish/>
          <w:sz w:val="24"/>
          <w:szCs w:val="24"/>
        </w:rPr>
      </w:pPr>
    </w:p>
    <w:p w:rsidR="00D66C62" w:rsidRDefault="00662551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在本基金会全职工作的理事薪酬福利和不受薪理事、监事受邀参加本基金会会议和活动所产生的差旅报销，以上皆不属于关联交易范畴。</w:t>
      </w:r>
    </w:p>
    <w:p w:rsidR="00D66C62" w:rsidRDefault="00662551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关联方向本基金会捐赠现金、实物、劳务、专利、无形资产等，并不要求本基金会支付回报的行为不属于关联交易范畴。</w:t>
      </w:r>
    </w:p>
    <w:p w:rsidR="00D66C62" w:rsidRDefault="00662551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本基金会所有关联交易信息都需要进行</w:t>
      </w:r>
      <w:r>
        <w:rPr>
          <w:rFonts w:ascii="等线" w:eastAsia="等线" w:hAnsi="等线" w:hint="eastAsia"/>
          <w:sz w:val="24"/>
          <w:szCs w:val="24"/>
        </w:rPr>
        <w:t>年度公开披露。</w:t>
      </w:r>
    </w:p>
    <w:p w:rsidR="00D66C62" w:rsidRDefault="00662551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本制度由本基金会负责解释。</w:t>
      </w:r>
    </w:p>
    <w:p w:rsidR="00D66C62" w:rsidRDefault="00662551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等线" w:eastAsia="等线" w:hAnsi="等线"/>
          <w:sz w:val="24"/>
          <w:szCs w:val="24"/>
        </w:rPr>
      </w:pPr>
      <w:r>
        <w:rPr>
          <w:rFonts w:ascii="等线" w:eastAsia="等线" w:hAnsi="等线" w:hint="eastAsia"/>
          <w:sz w:val="24"/>
          <w:szCs w:val="24"/>
        </w:rPr>
        <w:t>本制度经理事会会议审议通过后</w:t>
      </w:r>
      <w:r>
        <w:rPr>
          <w:rFonts w:ascii="等线" w:eastAsia="等线" w:hAnsi="等线" w:hint="eastAsia"/>
          <w:sz w:val="24"/>
          <w:szCs w:val="24"/>
        </w:rPr>
        <w:t>实</w:t>
      </w:r>
      <w:r>
        <w:rPr>
          <w:rFonts w:ascii="等线" w:eastAsia="等线" w:hAnsi="等线" w:hint="eastAsia"/>
          <w:sz w:val="24"/>
          <w:szCs w:val="24"/>
        </w:rPr>
        <w:t>行。</w:t>
      </w:r>
    </w:p>
    <w:p w:rsidR="00D66C62" w:rsidRDefault="00D66C62">
      <w:pPr>
        <w:spacing w:line="360" w:lineRule="auto"/>
        <w:rPr>
          <w:rFonts w:ascii="等线" w:eastAsia="等线" w:hAnsi="等线"/>
        </w:rPr>
      </w:pPr>
    </w:p>
    <w:sectPr w:rsidR="00D66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6613"/>
    <w:multiLevelType w:val="multilevel"/>
    <w:tmpl w:val="121F6613"/>
    <w:lvl w:ilvl="0">
      <w:start w:val="1"/>
      <w:numFmt w:val="decimal"/>
      <w:lvlText w:val="%1."/>
      <w:lvlJc w:val="left"/>
      <w:pPr>
        <w:ind w:left="1271" w:hanging="420"/>
      </w:pPr>
    </w:lvl>
    <w:lvl w:ilvl="1">
      <w:start w:val="1"/>
      <w:numFmt w:val="japaneseCounting"/>
      <w:lvlText w:val="（%2）"/>
      <w:lvlJc w:val="left"/>
      <w:pPr>
        <w:ind w:left="1146" w:hanging="720"/>
      </w:pPr>
    </w:lvl>
    <w:lvl w:ilvl="2">
      <w:start w:val="1"/>
      <w:numFmt w:val="lowerRoman"/>
      <w:lvlText w:val="%3."/>
      <w:lvlJc w:val="right"/>
      <w:pPr>
        <w:ind w:left="2111" w:hanging="420"/>
      </w:pPr>
    </w:lvl>
    <w:lvl w:ilvl="3">
      <w:start w:val="1"/>
      <w:numFmt w:val="decimal"/>
      <w:lvlText w:val="%4."/>
      <w:lvlJc w:val="left"/>
      <w:pPr>
        <w:ind w:left="2531" w:hanging="420"/>
      </w:pPr>
    </w:lvl>
    <w:lvl w:ilvl="4">
      <w:start w:val="1"/>
      <w:numFmt w:val="lowerLetter"/>
      <w:lvlText w:val="%5)"/>
      <w:lvlJc w:val="left"/>
      <w:pPr>
        <w:ind w:left="2951" w:hanging="420"/>
      </w:pPr>
    </w:lvl>
    <w:lvl w:ilvl="5">
      <w:start w:val="1"/>
      <w:numFmt w:val="lowerRoman"/>
      <w:lvlText w:val="%6."/>
      <w:lvlJc w:val="right"/>
      <w:pPr>
        <w:ind w:left="3371" w:hanging="420"/>
      </w:pPr>
    </w:lvl>
    <w:lvl w:ilvl="6">
      <w:start w:val="1"/>
      <w:numFmt w:val="decimal"/>
      <w:lvlText w:val="%7."/>
      <w:lvlJc w:val="left"/>
      <w:pPr>
        <w:ind w:left="3791" w:hanging="420"/>
      </w:pPr>
    </w:lvl>
    <w:lvl w:ilvl="7">
      <w:start w:val="1"/>
      <w:numFmt w:val="lowerLetter"/>
      <w:lvlText w:val="%8)"/>
      <w:lvlJc w:val="left"/>
      <w:pPr>
        <w:ind w:left="4211" w:hanging="420"/>
      </w:pPr>
    </w:lvl>
    <w:lvl w:ilvl="8">
      <w:start w:val="1"/>
      <w:numFmt w:val="lowerRoman"/>
      <w:lvlText w:val="%9."/>
      <w:lvlJc w:val="right"/>
      <w:pPr>
        <w:ind w:left="4631" w:hanging="420"/>
      </w:pPr>
    </w:lvl>
  </w:abstractNum>
  <w:abstractNum w:abstractNumId="1" w15:restartNumberingAfterBreak="0">
    <w:nsid w:val="1927286A"/>
    <w:multiLevelType w:val="multilevel"/>
    <w:tmpl w:val="1927286A"/>
    <w:lvl w:ilvl="0">
      <w:start w:val="1"/>
      <w:numFmt w:val="decimal"/>
      <w:lvlText w:val="%1."/>
      <w:lvlJc w:val="left"/>
      <w:pPr>
        <w:ind w:left="1271" w:hanging="420"/>
      </w:pPr>
    </w:lvl>
    <w:lvl w:ilvl="1">
      <w:start w:val="1"/>
      <w:numFmt w:val="japaneseCounting"/>
      <w:lvlText w:val="（%2）"/>
      <w:lvlJc w:val="left"/>
      <w:pPr>
        <w:ind w:left="1145" w:hanging="72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2111" w:hanging="420"/>
      </w:pPr>
    </w:lvl>
    <w:lvl w:ilvl="3">
      <w:start w:val="1"/>
      <w:numFmt w:val="decimal"/>
      <w:lvlText w:val="%4."/>
      <w:lvlJc w:val="left"/>
      <w:pPr>
        <w:ind w:left="2531" w:hanging="420"/>
      </w:pPr>
    </w:lvl>
    <w:lvl w:ilvl="4">
      <w:start w:val="1"/>
      <w:numFmt w:val="lowerLetter"/>
      <w:lvlText w:val="%5)"/>
      <w:lvlJc w:val="left"/>
      <w:pPr>
        <w:ind w:left="2951" w:hanging="420"/>
      </w:pPr>
    </w:lvl>
    <w:lvl w:ilvl="5">
      <w:start w:val="1"/>
      <w:numFmt w:val="lowerRoman"/>
      <w:lvlText w:val="%6."/>
      <w:lvlJc w:val="right"/>
      <w:pPr>
        <w:ind w:left="3371" w:hanging="420"/>
      </w:pPr>
    </w:lvl>
    <w:lvl w:ilvl="6">
      <w:start w:val="1"/>
      <w:numFmt w:val="decimal"/>
      <w:lvlText w:val="%7."/>
      <w:lvlJc w:val="left"/>
      <w:pPr>
        <w:ind w:left="3791" w:hanging="420"/>
      </w:pPr>
    </w:lvl>
    <w:lvl w:ilvl="7">
      <w:start w:val="1"/>
      <w:numFmt w:val="lowerLetter"/>
      <w:lvlText w:val="%8)"/>
      <w:lvlJc w:val="left"/>
      <w:pPr>
        <w:ind w:left="4211" w:hanging="420"/>
      </w:pPr>
    </w:lvl>
    <w:lvl w:ilvl="8">
      <w:start w:val="1"/>
      <w:numFmt w:val="lowerRoman"/>
      <w:lvlText w:val="%9."/>
      <w:lvlJc w:val="right"/>
      <w:pPr>
        <w:ind w:left="4631" w:hanging="420"/>
      </w:pPr>
    </w:lvl>
  </w:abstractNum>
  <w:abstractNum w:abstractNumId="2" w15:restartNumberingAfterBreak="0">
    <w:nsid w:val="1BE55F80"/>
    <w:multiLevelType w:val="multilevel"/>
    <w:tmpl w:val="1BE55F80"/>
    <w:lvl w:ilvl="0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F62F4E"/>
    <w:multiLevelType w:val="multilevel"/>
    <w:tmpl w:val="1DF62F4E"/>
    <w:lvl w:ilvl="0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E82D3D"/>
    <w:multiLevelType w:val="multilevel"/>
    <w:tmpl w:val="2EE82D3D"/>
    <w:lvl w:ilvl="0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5F12E1"/>
    <w:multiLevelType w:val="multilevel"/>
    <w:tmpl w:val="2F5F12E1"/>
    <w:lvl w:ilvl="0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8577422"/>
    <w:multiLevelType w:val="multilevel"/>
    <w:tmpl w:val="48577422"/>
    <w:lvl w:ilvl="0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C350F"/>
    <w:multiLevelType w:val="multilevel"/>
    <w:tmpl w:val="64CC350F"/>
    <w:lvl w:ilvl="0">
      <w:start w:val="1"/>
      <w:numFmt w:val="decimal"/>
      <w:lvlText w:val="%1."/>
      <w:lvlJc w:val="left"/>
      <w:pPr>
        <w:ind w:left="1271" w:hanging="420"/>
      </w:pPr>
    </w:lvl>
    <w:lvl w:ilvl="1">
      <w:start w:val="1"/>
      <w:numFmt w:val="japaneseCounting"/>
      <w:lvlText w:val="（%2）"/>
      <w:lvlJc w:val="left"/>
      <w:pPr>
        <w:ind w:left="1145" w:hanging="72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2111" w:hanging="420"/>
      </w:pPr>
    </w:lvl>
    <w:lvl w:ilvl="3">
      <w:start w:val="1"/>
      <w:numFmt w:val="decimal"/>
      <w:lvlText w:val="%4."/>
      <w:lvlJc w:val="left"/>
      <w:pPr>
        <w:ind w:left="2531" w:hanging="420"/>
      </w:pPr>
    </w:lvl>
    <w:lvl w:ilvl="4">
      <w:start w:val="1"/>
      <w:numFmt w:val="lowerLetter"/>
      <w:lvlText w:val="%5)"/>
      <w:lvlJc w:val="left"/>
      <w:pPr>
        <w:ind w:left="2951" w:hanging="420"/>
      </w:pPr>
    </w:lvl>
    <w:lvl w:ilvl="5">
      <w:start w:val="1"/>
      <w:numFmt w:val="lowerRoman"/>
      <w:lvlText w:val="%6."/>
      <w:lvlJc w:val="right"/>
      <w:pPr>
        <w:ind w:left="3371" w:hanging="420"/>
      </w:pPr>
    </w:lvl>
    <w:lvl w:ilvl="6">
      <w:start w:val="1"/>
      <w:numFmt w:val="decimal"/>
      <w:lvlText w:val="%7."/>
      <w:lvlJc w:val="left"/>
      <w:pPr>
        <w:ind w:left="3791" w:hanging="420"/>
      </w:pPr>
    </w:lvl>
    <w:lvl w:ilvl="7">
      <w:start w:val="1"/>
      <w:numFmt w:val="lowerLetter"/>
      <w:lvlText w:val="%8)"/>
      <w:lvlJc w:val="left"/>
      <w:pPr>
        <w:ind w:left="4211" w:hanging="420"/>
      </w:pPr>
    </w:lvl>
    <w:lvl w:ilvl="8">
      <w:start w:val="1"/>
      <w:numFmt w:val="lowerRoman"/>
      <w:lvlText w:val="%9."/>
      <w:lvlJc w:val="right"/>
      <w:pPr>
        <w:ind w:left="4631" w:hanging="420"/>
      </w:pPr>
    </w:lvl>
  </w:abstractNum>
  <w:abstractNum w:abstractNumId="8" w15:restartNumberingAfterBreak="0">
    <w:nsid w:val="66174C2A"/>
    <w:multiLevelType w:val="multilevel"/>
    <w:tmpl w:val="66174C2A"/>
    <w:lvl w:ilvl="0">
      <w:start w:val="1"/>
      <w:numFmt w:val="japaneseCounting"/>
      <w:lvlText w:val="（%1）"/>
      <w:lvlJc w:val="left"/>
      <w:pPr>
        <w:ind w:left="1145" w:hanging="72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2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BF"/>
    <w:rsid w:val="004E6066"/>
    <w:rsid w:val="00662551"/>
    <w:rsid w:val="006B1851"/>
    <w:rsid w:val="0098201F"/>
    <w:rsid w:val="00AC4EBE"/>
    <w:rsid w:val="00D66C62"/>
    <w:rsid w:val="00FC37BF"/>
    <w:rsid w:val="79C6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A01E0"/>
  <w15:docId w15:val="{4F677DD6-7822-4171-968B-D6B3D5CD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pPr>
      <w:widowControl w:val="0"/>
      <w:adjustRightInd/>
      <w:snapToGrid/>
      <w:spacing w:after="0"/>
      <w:outlineLvl w:val="2"/>
    </w:pPr>
    <w:rPr>
      <w:rFonts w:ascii="微软雅黑" w:hAnsi="微软雅黑" w:cs="Times New Roman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semiHidden/>
    <w:qFormat/>
    <w:rPr>
      <w:rFonts w:ascii="微软雅黑" w:eastAsia="微软雅黑" w:hAnsi="微软雅黑" w:cs="Times New Roman"/>
      <w:kern w:val="0"/>
      <w:sz w:val="27"/>
      <w:szCs w:val="27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lichao</dc:creator>
  <cp:lastModifiedBy>zhang lichao</cp:lastModifiedBy>
  <cp:revision>4</cp:revision>
  <dcterms:created xsi:type="dcterms:W3CDTF">2018-07-03T07:30:00Z</dcterms:created>
  <dcterms:modified xsi:type="dcterms:W3CDTF">2018-07-17T03:57:00Z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