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rFonts w:hint="default" w:ascii="等线" w:hAnsi="等线" w:eastAsia="等线"/>
          <w:b/>
          <w:sz w:val="24"/>
          <w:szCs w:val="24"/>
        </w:rPr>
      </w:pPr>
      <w:bookmarkStart w:id="0" w:name="_Toc514320320"/>
      <w:r>
        <w:rPr>
          <w:rFonts w:ascii="等线" w:hAnsi="等线" w:eastAsia="等线"/>
          <w:b/>
          <w:sz w:val="24"/>
          <w:szCs w:val="24"/>
        </w:rPr>
        <w:t>中脉公益基金会财务管理制度</w:t>
      </w:r>
      <w:bookmarkEnd w:id="0"/>
    </w:p>
    <w:p>
      <w:pPr>
        <w:spacing w:line="360" w:lineRule="auto"/>
        <w:jc w:val="center"/>
        <w:rPr>
          <w:rFonts w:ascii="等线" w:hAnsi="等线" w:eastAsia="等线"/>
          <w:b/>
          <w:sz w:val="24"/>
          <w:szCs w:val="24"/>
        </w:rPr>
      </w:pPr>
      <w:r>
        <w:rPr>
          <w:rFonts w:hint="eastAsia" w:ascii="等线" w:hAnsi="等线" w:eastAsia="等线"/>
          <w:b/>
          <w:sz w:val="24"/>
          <w:szCs w:val="24"/>
        </w:rPr>
        <w:t>第一章 总则</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为了加强中脉基金会财务管理，根据《中华人民共和国会计法》、《基金会管理条例》、《慈善法》、《民间非营利组织会计制度》等法律法规及《基金会章程》，制定本方法。</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财务管理的主要任务是通过资金的管理和运用，对机构的经济活动进行综合管理。具体包括：管理各项收入，降低成本费用，合理安排和使用各项资金；加强经济核算，提高资金使用效益；建立健全财务管理制度，加强财务监督、检查；维护机构财产完好，充分发挥财产物资效益；开展财务分析，参与机构经济决策，规范财务信息披露，促进机构建设和事业发展。</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财务管理是机构管理的重要组成部分，基金会根据章程规定，切实做好财务管理工作；</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基金会的财务管理实行统一领导、归口管理的原则。在秘书处的领导下，基金会的一切财务收支活动归口财务管理部门统一管理。</w:t>
      </w:r>
    </w:p>
    <w:p>
      <w:pPr>
        <w:spacing w:line="360" w:lineRule="auto"/>
        <w:jc w:val="center"/>
        <w:rPr>
          <w:rFonts w:ascii="等线" w:hAnsi="等线" w:eastAsia="等线"/>
          <w:b/>
          <w:sz w:val="24"/>
          <w:szCs w:val="24"/>
        </w:rPr>
      </w:pPr>
      <w:r>
        <w:rPr>
          <w:rFonts w:hint="eastAsia" w:ascii="等线" w:hAnsi="等线" w:eastAsia="等线"/>
          <w:b/>
          <w:sz w:val="24"/>
          <w:szCs w:val="24"/>
        </w:rPr>
        <w:t>第二章 财务管理体制</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基金会的最高决策机构是理事会。理事会定期审议机构财务报告，并决定财务工作中的重大问题。在理事会开会期间，由理事长授权秘书长负责日常工作；</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基金会的财务活动依法接受社会公众和国家有关管理部门的监督；每年接受具有民政部社会团体审计资格的会计师事务所审计；</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基金会理事会换届和更换法定代表人之前，应当进行财务审计；</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基金会在北京设立财务部，不得在专项基金设置独立财务。</w:t>
      </w:r>
    </w:p>
    <w:p>
      <w:pPr>
        <w:spacing w:line="360" w:lineRule="auto"/>
        <w:jc w:val="center"/>
        <w:rPr>
          <w:rFonts w:ascii="等线" w:hAnsi="等线" w:eastAsia="等线"/>
          <w:b/>
          <w:sz w:val="24"/>
          <w:szCs w:val="24"/>
        </w:rPr>
      </w:pPr>
      <w:r>
        <w:rPr>
          <w:rFonts w:hint="eastAsia" w:ascii="等线" w:hAnsi="等线" w:eastAsia="等线"/>
          <w:b/>
          <w:sz w:val="24"/>
          <w:szCs w:val="24"/>
        </w:rPr>
        <w:t>第三章 预算管理</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各部门根据年度工作计划，编制预算初稿，经秘书长审核后，形成年度财务总预算。财务总预算经理事会审议批准后执行。</w:t>
      </w:r>
    </w:p>
    <w:p>
      <w:pPr>
        <w:pStyle w:val="6"/>
        <w:numPr>
          <w:ilvl w:val="0"/>
          <w:numId w:val="1"/>
        </w:numPr>
        <w:spacing w:line="360" w:lineRule="auto"/>
        <w:ind w:firstLineChars="0"/>
        <w:rPr>
          <w:rFonts w:ascii="等线" w:hAnsi="等线" w:eastAsia="等线"/>
          <w:sz w:val="24"/>
          <w:szCs w:val="24"/>
        </w:rPr>
      </w:pPr>
      <w:r>
        <w:rPr>
          <w:rFonts w:hint="eastAsia" w:ascii="等线" w:hAnsi="等线" w:eastAsia="等线"/>
          <w:sz w:val="24"/>
          <w:szCs w:val="24"/>
        </w:rPr>
        <w:t>各部门在编制年度预算时，收入预算参考上年预算执行情况及业务发展计划合理预测制定，业务活动成本和管理费用根据项目特点和工作计划本着量入为出、厉行节约的原则，按机构费用标准或工作量测算编制。</w:t>
      </w: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firstLineChars="0"/>
        <w:rPr>
          <w:rFonts w:ascii="等线" w:hAnsi="等线" w:eastAsia="等线"/>
          <w:vanish/>
          <w:sz w:val="24"/>
          <w:szCs w:val="24"/>
        </w:rPr>
      </w:pPr>
    </w:p>
    <w:p>
      <w:pPr>
        <w:pStyle w:val="6"/>
        <w:numPr>
          <w:ilvl w:val="0"/>
          <w:numId w:val="2"/>
        </w:numPr>
        <w:spacing w:line="360" w:lineRule="auto"/>
        <w:ind w:left="839" w:hanging="839" w:firstLineChars="0"/>
        <w:rPr>
          <w:rFonts w:ascii="等线" w:hAnsi="等线" w:eastAsia="等线"/>
          <w:sz w:val="24"/>
          <w:szCs w:val="24"/>
        </w:rPr>
      </w:pPr>
      <w:r>
        <w:rPr>
          <w:rFonts w:hint="eastAsia" w:ascii="等线" w:hAnsi="等线" w:eastAsia="等线"/>
          <w:sz w:val="24"/>
          <w:szCs w:val="24"/>
        </w:rPr>
        <w:t>各部门须严格执行财务预算，除因工作计划、工作内容有较大调整，或者人员发生较大变化，需要通过预算调整程序核准新的预算外，一般不予以调整。在年内季末和年末，财务部应总结、分析预算执行情况及存在的问题，提出改进意见，报秘书长或理事会。预算执行情况纳入各管理部门的业绩考核。</w:t>
      </w:r>
    </w:p>
    <w:p>
      <w:pPr>
        <w:spacing w:line="360" w:lineRule="auto"/>
        <w:jc w:val="center"/>
        <w:rPr>
          <w:rFonts w:ascii="等线" w:hAnsi="等线" w:eastAsia="等线"/>
          <w:b/>
          <w:sz w:val="24"/>
          <w:szCs w:val="24"/>
        </w:rPr>
      </w:pPr>
      <w:r>
        <w:rPr>
          <w:rFonts w:hint="eastAsia" w:ascii="等线" w:hAnsi="等线" w:eastAsia="等线"/>
          <w:b/>
          <w:sz w:val="24"/>
          <w:szCs w:val="24"/>
        </w:rPr>
        <w:t>第四章 收入管理</w:t>
      </w:r>
    </w:p>
    <w:p>
      <w:pPr>
        <w:pStyle w:val="6"/>
        <w:numPr>
          <w:ilvl w:val="0"/>
          <w:numId w:val="2"/>
        </w:numPr>
        <w:spacing w:line="360" w:lineRule="auto"/>
        <w:ind w:firstLineChars="0"/>
        <w:rPr>
          <w:rFonts w:ascii="等线" w:hAnsi="等线" w:eastAsia="等线"/>
          <w:sz w:val="24"/>
          <w:szCs w:val="24"/>
        </w:rPr>
      </w:pPr>
      <w:r>
        <w:rPr>
          <w:rFonts w:hint="eastAsia" w:ascii="等线" w:hAnsi="等线" w:eastAsia="等线"/>
          <w:sz w:val="24"/>
          <w:szCs w:val="24"/>
        </w:rPr>
        <w:t>分类核算捐赠收入与捐赠以外的其他收入；</w:t>
      </w:r>
    </w:p>
    <w:p>
      <w:pPr>
        <w:pStyle w:val="6"/>
        <w:numPr>
          <w:ilvl w:val="0"/>
          <w:numId w:val="2"/>
        </w:numPr>
        <w:spacing w:line="360" w:lineRule="auto"/>
        <w:ind w:firstLineChars="0"/>
        <w:rPr>
          <w:rFonts w:ascii="等线" w:hAnsi="等线" w:eastAsia="等线"/>
          <w:sz w:val="24"/>
          <w:szCs w:val="24"/>
        </w:rPr>
      </w:pPr>
      <w:r>
        <w:rPr>
          <w:rFonts w:hint="eastAsia" w:ascii="等线" w:hAnsi="等线" w:eastAsia="等线"/>
          <w:sz w:val="24"/>
          <w:szCs w:val="24"/>
        </w:rPr>
        <w:t>根据各项收入性质严格划分限定性收入和非限定性收入；各项收入均纳入年度总预算统筹计划；</w:t>
      </w:r>
    </w:p>
    <w:p>
      <w:pPr>
        <w:pStyle w:val="6"/>
        <w:numPr>
          <w:ilvl w:val="0"/>
          <w:numId w:val="2"/>
        </w:numPr>
        <w:spacing w:line="360" w:lineRule="auto"/>
        <w:ind w:firstLineChars="0"/>
        <w:rPr>
          <w:rFonts w:ascii="等线" w:hAnsi="等线" w:eastAsia="等线"/>
          <w:sz w:val="24"/>
          <w:szCs w:val="24"/>
        </w:rPr>
      </w:pPr>
      <w:r>
        <w:rPr>
          <w:rFonts w:hint="eastAsia" w:ascii="等线" w:hAnsi="等线" w:eastAsia="等线"/>
          <w:sz w:val="24"/>
          <w:szCs w:val="24"/>
        </w:rPr>
        <w:t>全部收入，必须纳入基金会财务部门统一管理，所有捐款只能打到基金会规定账户中。</w:t>
      </w:r>
    </w:p>
    <w:p>
      <w:pPr>
        <w:spacing w:line="360" w:lineRule="auto"/>
        <w:jc w:val="center"/>
        <w:rPr>
          <w:rFonts w:ascii="等线" w:hAnsi="等线" w:eastAsia="等线"/>
          <w:b/>
          <w:sz w:val="24"/>
          <w:szCs w:val="24"/>
        </w:rPr>
      </w:pPr>
      <w:r>
        <w:rPr>
          <w:rFonts w:hint="eastAsia" w:ascii="等线" w:hAnsi="等线" w:eastAsia="等线"/>
          <w:b/>
          <w:sz w:val="24"/>
          <w:szCs w:val="24"/>
        </w:rPr>
        <w:t>第五章 支出管理</w:t>
      </w: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vanish/>
          <w:sz w:val="24"/>
          <w:szCs w:val="24"/>
        </w:rPr>
      </w:pPr>
    </w:p>
    <w:p>
      <w:pPr>
        <w:pStyle w:val="6"/>
        <w:numPr>
          <w:ilvl w:val="0"/>
          <w:numId w:val="3"/>
        </w:numPr>
        <w:spacing w:line="360" w:lineRule="auto"/>
        <w:ind w:firstLineChars="0"/>
        <w:rPr>
          <w:rFonts w:ascii="等线" w:hAnsi="等线" w:eastAsia="等线"/>
          <w:sz w:val="24"/>
          <w:szCs w:val="24"/>
        </w:rPr>
      </w:pPr>
      <w:r>
        <w:rPr>
          <w:rFonts w:hint="eastAsia" w:ascii="等线" w:hAnsi="等线" w:eastAsia="等线"/>
          <w:sz w:val="24"/>
          <w:szCs w:val="24"/>
        </w:rPr>
        <w:t>各项支出的安排必须有利于公益事业发展，</w:t>
      </w:r>
      <w:r>
        <w:rPr>
          <w:rFonts w:ascii="等线" w:hAnsi="等线" w:eastAsia="等线"/>
          <w:sz w:val="24"/>
          <w:szCs w:val="24"/>
        </w:rPr>
        <w:t xml:space="preserve"> </w:t>
      </w:r>
      <w:r>
        <w:rPr>
          <w:rFonts w:hint="eastAsia" w:ascii="等线" w:hAnsi="等线" w:eastAsia="等线"/>
          <w:sz w:val="24"/>
          <w:szCs w:val="24"/>
        </w:rPr>
        <w:t>必须贯彻厉行节约和量力而行的原则，严格遵守各项财政、财务制度和财经纪律；</w:t>
      </w:r>
    </w:p>
    <w:p>
      <w:pPr>
        <w:pStyle w:val="6"/>
        <w:numPr>
          <w:ilvl w:val="0"/>
          <w:numId w:val="3"/>
        </w:numPr>
        <w:spacing w:line="360" w:lineRule="auto"/>
        <w:ind w:firstLineChars="0"/>
        <w:rPr>
          <w:rFonts w:ascii="等线" w:hAnsi="等线" w:eastAsia="等线"/>
          <w:sz w:val="24"/>
          <w:szCs w:val="24"/>
        </w:rPr>
      </w:pPr>
      <w:r>
        <w:rPr>
          <w:rFonts w:hint="eastAsia" w:ascii="等线" w:hAnsi="等线" w:eastAsia="等线"/>
          <w:sz w:val="24"/>
          <w:szCs w:val="24"/>
        </w:rPr>
        <w:t xml:space="preserve">按照理事会批准的年度预算和规定的开支范围、标准执行资助支出和费用支出，并严格按照捐赠协议安排资助计划； </w:t>
      </w:r>
    </w:p>
    <w:p>
      <w:pPr>
        <w:pStyle w:val="6"/>
        <w:numPr>
          <w:ilvl w:val="0"/>
          <w:numId w:val="3"/>
        </w:numPr>
        <w:spacing w:line="360" w:lineRule="auto"/>
        <w:ind w:firstLineChars="0"/>
        <w:rPr>
          <w:rFonts w:ascii="等线" w:hAnsi="等线" w:eastAsia="等线"/>
          <w:sz w:val="24"/>
          <w:szCs w:val="24"/>
        </w:rPr>
      </w:pPr>
      <w:r>
        <w:rPr>
          <w:rFonts w:hint="eastAsia" w:ascii="等线" w:hAnsi="等线" w:eastAsia="等线"/>
          <w:sz w:val="24"/>
          <w:szCs w:val="24"/>
        </w:rPr>
        <w:t>各项支出由部门负责人提出申请，财务部审核后，由秘书长批准后执行。重大支出须按章程报请理事长或理事会批准后执行。</w:t>
      </w:r>
    </w:p>
    <w:p>
      <w:pPr>
        <w:pStyle w:val="6"/>
        <w:numPr>
          <w:ilvl w:val="0"/>
          <w:numId w:val="3"/>
        </w:numPr>
        <w:spacing w:line="360" w:lineRule="auto"/>
        <w:ind w:firstLineChars="0"/>
        <w:rPr>
          <w:rFonts w:ascii="等线" w:hAnsi="等线" w:eastAsia="等线"/>
          <w:sz w:val="24"/>
          <w:szCs w:val="24"/>
        </w:rPr>
      </w:pPr>
      <w:r>
        <w:rPr>
          <w:rFonts w:hint="eastAsia" w:ascii="等线" w:hAnsi="等线" w:eastAsia="等线"/>
          <w:sz w:val="24"/>
          <w:szCs w:val="24"/>
        </w:rPr>
        <w:t>财务部对各项支出进行前期审核和后期复核，建立健全各项支出管理和审批制度。</w:t>
      </w:r>
    </w:p>
    <w:p>
      <w:pPr>
        <w:spacing w:line="360" w:lineRule="auto"/>
        <w:jc w:val="center"/>
        <w:rPr>
          <w:rFonts w:ascii="等线" w:hAnsi="等线" w:eastAsia="等线"/>
          <w:b/>
          <w:sz w:val="24"/>
          <w:szCs w:val="24"/>
        </w:rPr>
      </w:pPr>
      <w:r>
        <w:rPr>
          <w:rFonts w:hint="eastAsia" w:ascii="等线" w:hAnsi="等线" w:eastAsia="等线"/>
          <w:b/>
          <w:sz w:val="24"/>
          <w:szCs w:val="24"/>
        </w:rPr>
        <w:t>第六章 投资管理</w:t>
      </w: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vanish/>
          <w:sz w:val="24"/>
          <w:szCs w:val="24"/>
        </w:rPr>
      </w:pPr>
    </w:p>
    <w:p>
      <w:pPr>
        <w:pStyle w:val="6"/>
        <w:numPr>
          <w:ilvl w:val="0"/>
          <w:numId w:val="4"/>
        </w:numPr>
        <w:spacing w:line="360" w:lineRule="auto"/>
        <w:ind w:firstLineChars="0"/>
        <w:rPr>
          <w:rFonts w:ascii="等线" w:hAnsi="等线" w:eastAsia="等线"/>
          <w:sz w:val="24"/>
          <w:szCs w:val="24"/>
        </w:rPr>
      </w:pPr>
      <w:r>
        <w:rPr>
          <w:rFonts w:hint="eastAsia" w:ascii="等线" w:hAnsi="等线" w:eastAsia="等线"/>
          <w:sz w:val="24"/>
          <w:szCs w:val="24"/>
        </w:rPr>
        <w:t>基金会可用于投资的资产限于非限定性资产和法律法规允许用于投资的资产。如果捐赠人对捐赠财产能否投资和如何投资有特别约定，基金会应遵守约定。</w:t>
      </w:r>
    </w:p>
    <w:p>
      <w:pPr>
        <w:pStyle w:val="6"/>
        <w:numPr>
          <w:ilvl w:val="0"/>
          <w:numId w:val="4"/>
        </w:numPr>
        <w:spacing w:line="360" w:lineRule="auto"/>
        <w:ind w:firstLineChars="0"/>
        <w:rPr>
          <w:rFonts w:ascii="等线" w:hAnsi="等线" w:eastAsia="等线"/>
          <w:sz w:val="24"/>
          <w:szCs w:val="24"/>
        </w:rPr>
      </w:pPr>
      <w:r>
        <w:rPr>
          <w:rFonts w:hint="eastAsia" w:ascii="等线" w:hAnsi="等线" w:eastAsia="等线"/>
          <w:sz w:val="24"/>
          <w:szCs w:val="24"/>
        </w:rPr>
        <w:t>基金会必须保持足够的现金和货币市场基金等流动性较高的资产，以保证待拨捐款按捐赠和资助协议的约定及时、足额划拨；</w:t>
      </w:r>
    </w:p>
    <w:p>
      <w:pPr>
        <w:pStyle w:val="6"/>
        <w:numPr>
          <w:ilvl w:val="0"/>
          <w:numId w:val="4"/>
        </w:numPr>
        <w:spacing w:line="360" w:lineRule="auto"/>
        <w:ind w:firstLineChars="0"/>
        <w:rPr>
          <w:rFonts w:ascii="等线" w:hAnsi="等线" w:eastAsia="等线"/>
          <w:sz w:val="24"/>
          <w:szCs w:val="24"/>
        </w:rPr>
      </w:pPr>
      <w:r>
        <w:rPr>
          <w:rFonts w:hint="eastAsia" w:ascii="等线" w:hAnsi="等线" w:eastAsia="等线"/>
          <w:sz w:val="24"/>
          <w:szCs w:val="24"/>
        </w:rPr>
        <w:t>基金会直接运作的投资范围仅限于银行存款、国债、货币市场基金及其他固定收益类或保本型金融产品；其他投资须委托专业的投资管理人管理和运作。</w:t>
      </w:r>
    </w:p>
    <w:p>
      <w:pPr>
        <w:pStyle w:val="6"/>
        <w:numPr>
          <w:ilvl w:val="0"/>
          <w:numId w:val="4"/>
        </w:numPr>
        <w:spacing w:line="360" w:lineRule="auto"/>
        <w:ind w:firstLineChars="0"/>
        <w:rPr>
          <w:rFonts w:ascii="等线" w:hAnsi="等线" w:eastAsia="等线"/>
          <w:sz w:val="24"/>
          <w:szCs w:val="24"/>
        </w:rPr>
      </w:pPr>
      <w:r>
        <w:rPr>
          <w:rFonts w:hint="eastAsia" w:ascii="等线" w:hAnsi="等线" w:eastAsia="等线"/>
          <w:sz w:val="24"/>
          <w:szCs w:val="24"/>
        </w:rPr>
        <w:t>单笔资金超过300万元的投资项目，必须经过三分之二以上理事表决同意方可实施</w:t>
      </w:r>
      <w:r>
        <w:rPr>
          <w:rFonts w:hint="eastAsia" w:ascii="等线" w:hAnsi="等线" w:eastAsia="等线"/>
          <w:sz w:val="24"/>
          <w:szCs w:val="24"/>
          <w:lang w:eastAsia="zh-CN"/>
        </w:rPr>
        <w:t>。</w:t>
      </w:r>
      <w:bookmarkStart w:id="1" w:name="_GoBack"/>
      <w:bookmarkEnd w:id="1"/>
    </w:p>
    <w:p>
      <w:pPr>
        <w:spacing w:line="360" w:lineRule="auto"/>
        <w:jc w:val="center"/>
        <w:rPr>
          <w:rFonts w:ascii="等线" w:hAnsi="等线" w:eastAsia="等线"/>
          <w:b/>
          <w:bCs/>
          <w:sz w:val="24"/>
          <w:szCs w:val="24"/>
        </w:rPr>
      </w:pPr>
      <w:r>
        <w:rPr>
          <w:rFonts w:hint="eastAsia" w:ascii="等线" w:hAnsi="等线" w:eastAsia="等线"/>
          <w:b/>
          <w:bCs/>
          <w:sz w:val="24"/>
          <w:szCs w:val="24"/>
        </w:rPr>
        <w:t>第七章财务决算与财务监督</w:t>
      </w: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vanish/>
          <w:sz w:val="24"/>
          <w:szCs w:val="24"/>
        </w:rPr>
      </w:pPr>
    </w:p>
    <w:p>
      <w:pPr>
        <w:pStyle w:val="6"/>
        <w:numPr>
          <w:ilvl w:val="0"/>
          <w:numId w:val="5"/>
        </w:numPr>
        <w:spacing w:line="360" w:lineRule="auto"/>
        <w:ind w:firstLineChars="0"/>
        <w:rPr>
          <w:rFonts w:ascii="等线" w:hAnsi="等线" w:eastAsia="等线"/>
          <w:sz w:val="24"/>
          <w:szCs w:val="24"/>
        </w:rPr>
      </w:pPr>
      <w:r>
        <w:rPr>
          <w:rFonts w:hint="eastAsia" w:ascii="等线" w:hAnsi="等线" w:eastAsia="等线"/>
          <w:sz w:val="24"/>
          <w:szCs w:val="24"/>
        </w:rPr>
        <w:t>年度财务决算是年度会计期间公益项目的收入及成本、资产质量、财务效益等基本情况的综合反映，是全面了解和掌握运营状况的重要手段，严格按照国家有关财务会计制度规定，在进行财产清查、债权债务确订和资产质量核实的基础上，以年度内发生的全部经济交易事项的会计账簿为基本依据，认真组织机构财务决算编制和报表工作，做到账表一致、账账一致、账实一致；严格按《民间非营利组织会计制度》的规定编制财务报告，并接受独立会计师事务所的审计；</w:t>
      </w:r>
    </w:p>
    <w:p>
      <w:pPr>
        <w:pStyle w:val="6"/>
        <w:numPr>
          <w:ilvl w:val="0"/>
          <w:numId w:val="5"/>
        </w:numPr>
        <w:spacing w:line="360" w:lineRule="auto"/>
        <w:ind w:firstLineChars="0"/>
        <w:rPr>
          <w:rFonts w:ascii="等线" w:hAnsi="等线" w:eastAsia="等线"/>
          <w:sz w:val="24"/>
          <w:szCs w:val="24"/>
        </w:rPr>
      </w:pPr>
      <w:r>
        <w:rPr>
          <w:rFonts w:hint="eastAsia" w:ascii="等线" w:hAnsi="等线" w:eastAsia="等线"/>
          <w:sz w:val="24"/>
          <w:szCs w:val="24"/>
        </w:rPr>
        <w:t>财务管理部门要通过收支审核、财务分析等，对财务收支、资金运用、财产物资管理等情况进行监督检查。对违反国家财政、财务制度的行为，要及时予以制止纠正，性质比较严重的，要向领导及有关部门报告，并按有关规定严肃处理。</w:t>
      </w:r>
    </w:p>
    <w:p>
      <w:pPr>
        <w:spacing w:line="360" w:lineRule="auto"/>
        <w:jc w:val="center"/>
        <w:rPr>
          <w:rFonts w:ascii="等线" w:hAnsi="等线" w:eastAsia="等线"/>
          <w:b/>
          <w:bCs/>
          <w:sz w:val="24"/>
          <w:szCs w:val="24"/>
        </w:rPr>
      </w:pPr>
      <w:r>
        <w:rPr>
          <w:rFonts w:hint="eastAsia" w:ascii="等线" w:hAnsi="等线" w:eastAsia="等线"/>
          <w:b/>
          <w:bCs/>
          <w:sz w:val="24"/>
          <w:szCs w:val="24"/>
        </w:rPr>
        <w:t>第八章财务会计信息披露</w:t>
      </w: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vanish/>
          <w:sz w:val="24"/>
          <w:szCs w:val="24"/>
        </w:rPr>
      </w:pPr>
    </w:p>
    <w:p>
      <w:pPr>
        <w:pStyle w:val="6"/>
        <w:numPr>
          <w:ilvl w:val="0"/>
          <w:numId w:val="6"/>
        </w:numPr>
        <w:spacing w:line="360" w:lineRule="auto"/>
        <w:ind w:firstLineChars="0"/>
        <w:rPr>
          <w:rFonts w:ascii="等线" w:hAnsi="等线" w:eastAsia="等线"/>
          <w:sz w:val="24"/>
          <w:szCs w:val="24"/>
        </w:rPr>
      </w:pPr>
      <w:r>
        <w:rPr>
          <w:rFonts w:hint="eastAsia" w:ascii="等线" w:hAnsi="等线" w:eastAsia="等线"/>
          <w:sz w:val="24"/>
          <w:szCs w:val="24"/>
        </w:rPr>
        <w:t>机构年度财务报告对外披露须经理事会批准。</w:t>
      </w:r>
    </w:p>
    <w:p>
      <w:pPr>
        <w:pStyle w:val="6"/>
        <w:numPr>
          <w:ilvl w:val="0"/>
          <w:numId w:val="6"/>
        </w:numPr>
        <w:spacing w:line="360" w:lineRule="auto"/>
        <w:ind w:firstLineChars="0"/>
        <w:rPr>
          <w:rFonts w:ascii="等线" w:hAnsi="等线" w:eastAsia="等线"/>
          <w:sz w:val="24"/>
          <w:szCs w:val="24"/>
        </w:rPr>
      </w:pPr>
      <w:r>
        <w:rPr>
          <w:rFonts w:hint="eastAsia" w:ascii="等线" w:hAnsi="等线" w:eastAsia="等线"/>
          <w:sz w:val="24"/>
          <w:szCs w:val="24"/>
        </w:rPr>
        <w:t>财务会计报告由会计报表、会计报表附注和财务情况说明书构成。按照《民间非营利组织会计制度》的规定，机构会计报表包括资产负债表、业务活动表和现金流量表，同时包括会计报表附注，说明机构采用的主要会计政策、会计报表中反映的重要项目的具体说明和未在会计报表中反映的重要信息的说明等。</w:t>
      </w:r>
    </w:p>
    <w:p>
      <w:pPr>
        <w:pStyle w:val="6"/>
        <w:numPr>
          <w:ilvl w:val="0"/>
          <w:numId w:val="6"/>
        </w:numPr>
        <w:spacing w:line="360" w:lineRule="auto"/>
        <w:ind w:firstLineChars="0"/>
        <w:rPr>
          <w:rFonts w:ascii="等线" w:hAnsi="等线" w:eastAsia="等线"/>
          <w:sz w:val="24"/>
          <w:szCs w:val="24"/>
        </w:rPr>
      </w:pPr>
      <w:r>
        <w:rPr>
          <w:rFonts w:hint="eastAsia" w:ascii="等线" w:hAnsi="等线" w:eastAsia="等线"/>
          <w:sz w:val="24"/>
          <w:szCs w:val="24"/>
        </w:rPr>
        <w:t>建立定期财务信息披露制度</w:t>
      </w:r>
      <w:r>
        <w:rPr>
          <w:rFonts w:ascii="等线" w:hAnsi="等线" w:eastAsia="等线"/>
          <w:sz w:val="24"/>
          <w:szCs w:val="24"/>
        </w:rPr>
        <w:t>,</w:t>
      </w:r>
      <w:r>
        <w:rPr>
          <w:rFonts w:hint="eastAsia" w:ascii="等线" w:hAnsi="等线" w:eastAsia="等线"/>
          <w:sz w:val="24"/>
          <w:szCs w:val="24"/>
        </w:rPr>
        <w:t>提供真实、及时、公允的财务会计信息；按照基金会章程的规定每年在机构网站及相关媒体上公布审计报告和财务会计报告。</w:t>
      </w:r>
    </w:p>
    <w:p>
      <w:pPr>
        <w:pStyle w:val="6"/>
        <w:numPr>
          <w:ilvl w:val="0"/>
          <w:numId w:val="6"/>
        </w:numPr>
        <w:spacing w:line="360" w:lineRule="auto"/>
        <w:ind w:firstLineChars="0"/>
        <w:rPr>
          <w:rFonts w:ascii="等线" w:hAnsi="等线" w:eastAsia="等线"/>
          <w:sz w:val="24"/>
          <w:szCs w:val="24"/>
        </w:rPr>
      </w:pPr>
      <w:r>
        <w:rPr>
          <w:rFonts w:hint="eastAsia" w:ascii="等线" w:hAnsi="等线" w:eastAsia="等线"/>
          <w:sz w:val="24"/>
          <w:szCs w:val="24"/>
        </w:rPr>
        <w:t>以单一项目或捐赠人为报告主体的财务会计信息由财务管理部门负责按会计制度核算并编制，报秘书长审批后，方可对外提供或披露。重大财务信息的披露必须纳入财务会计报告的内容，由财务管理部门按规定报请批准后对外披露。</w:t>
      </w:r>
    </w:p>
    <w:p>
      <w:pPr>
        <w:spacing w:line="360" w:lineRule="auto"/>
        <w:jc w:val="center"/>
        <w:rPr>
          <w:rFonts w:ascii="等线" w:hAnsi="等线" w:eastAsia="等线"/>
          <w:b/>
          <w:bCs/>
          <w:sz w:val="24"/>
          <w:szCs w:val="24"/>
        </w:rPr>
      </w:pPr>
      <w:r>
        <w:rPr>
          <w:rFonts w:hint="eastAsia" w:ascii="等线" w:hAnsi="等线" w:eastAsia="等线"/>
          <w:b/>
          <w:bCs/>
          <w:sz w:val="24"/>
          <w:szCs w:val="24"/>
        </w:rPr>
        <w:t>第九章会计档案管理</w:t>
      </w: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vanish/>
          <w:sz w:val="24"/>
          <w:szCs w:val="24"/>
        </w:rPr>
      </w:pPr>
    </w:p>
    <w:p>
      <w:pPr>
        <w:pStyle w:val="6"/>
        <w:numPr>
          <w:ilvl w:val="0"/>
          <w:numId w:val="7"/>
        </w:numPr>
        <w:spacing w:line="360" w:lineRule="auto"/>
        <w:ind w:firstLineChars="0"/>
        <w:rPr>
          <w:rFonts w:ascii="等线" w:hAnsi="等线" w:eastAsia="等线"/>
          <w:sz w:val="24"/>
          <w:szCs w:val="24"/>
        </w:rPr>
      </w:pPr>
      <w:r>
        <w:rPr>
          <w:rFonts w:hint="eastAsia" w:ascii="等线" w:hAnsi="等线" w:eastAsia="等线"/>
          <w:sz w:val="24"/>
          <w:szCs w:val="24"/>
        </w:rPr>
        <w:t>会计档案由财务部负责整理归档。</w:t>
      </w:r>
    </w:p>
    <w:p>
      <w:pPr>
        <w:pStyle w:val="6"/>
        <w:numPr>
          <w:ilvl w:val="0"/>
          <w:numId w:val="7"/>
        </w:numPr>
        <w:spacing w:line="360" w:lineRule="auto"/>
        <w:ind w:firstLineChars="0"/>
        <w:rPr>
          <w:rFonts w:ascii="等线" w:hAnsi="等线" w:eastAsia="等线"/>
          <w:sz w:val="24"/>
          <w:szCs w:val="24"/>
        </w:rPr>
      </w:pPr>
      <w:r>
        <w:rPr>
          <w:rFonts w:hint="eastAsia" w:ascii="等线" w:hAnsi="等线" w:eastAsia="等线"/>
          <w:sz w:val="24"/>
          <w:szCs w:val="24"/>
        </w:rPr>
        <w:t>会计档案不得外借，遇有特殊情况，须经财务主管报秘书长批准后，方可提供查阅或复制，并办理登记手续。</w:t>
      </w:r>
    </w:p>
    <w:p>
      <w:pPr>
        <w:pStyle w:val="6"/>
        <w:numPr>
          <w:ilvl w:val="0"/>
          <w:numId w:val="7"/>
        </w:numPr>
        <w:spacing w:line="360" w:lineRule="auto"/>
        <w:ind w:firstLineChars="0"/>
        <w:rPr>
          <w:rFonts w:ascii="等线" w:hAnsi="等线" w:eastAsia="等线"/>
          <w:sz w:val="24"/>
          <w:szCs w:val="24"/>
        </w:rPr>
      </w:pPr>
      <w:r>
        <w:rPr>
          <w:rFonts w:hint="eastAsia" w:ascii="等线" w:hAnsi="等线" w:eastAsia="等线"/>
          <w:sz w:val="24"/>
          <w:szCs w:val="24"/>
        </w:rPr>
        <w:t>销毁会计档案须按规定程序审批。对到期未了结的债权债务的原始凭证及其它未了事项的原始凭证不得销毁，单独抽出另行立卷，保管到未了事项完结时为止。</w:t>
      </w:r>
    </w:p>
    <w:p>
      <w:pPr>
        <w:spacing w:line="360" w:lineRule="auto"/>
        <w:rPr>
          <w:rFonts w:ascii="等线" w:hAnsi="等线" w:eastAsia="等线"/>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A0000287" w:usb1="28C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A60ABF"/>
    <w:multiLevelType w:val="multilevel"/>
    <w:tmpl w:val="16A60ABF"/>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529578B"/>
    <w:multiLevelType w:val="multilevel"/>
    <w:tmpl w:val="2529578B"/>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B2023C7"/>
    <w:multiLevelType w:val="multilevel"/>
    <w:tmpl w:val="2B2023C7"/>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CAB0828"/>
    <w:multiLevelType w:val="multilevel"/>
    <w:tmpl w:val="4CAB0828"/>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0D8251E"/>
    <w:multiLevelType w:val="multilevel"/>
    <w:tmpl w:val="50D8251E"/>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587519A"/>
    <w:multiLevelType w:val="multilevel"/>
    <w:tmpl w:val="5587519A"/>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2186212"/>
    <w:multiLevelType w:val="multilevel"/>
    <w:tmpl w:val="72186212"/>
    <w:lvl w:ilvl="0" w:tentative="0">
      <w:start w:val="1"/>
      <w:numFmt w:val="japaneseCounting"/>
      <w:lvlText w:val="第%1条"/>
      <w:lvlJc w:val="left"/>
      <w:pPr>
        <w:ind w:left="840" w:hanging="8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2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BAD"/>
    <w:rsid w:val="002C7520"/>
    <w:rsid w:val="006D4EA9"/>
    <w:rsid w:val="00740BAD"/>
    <w:rsid w:val="009D314A"/>
    <w:rsid w:val="00B37199"/>
    <w:rsid w:val="00E36AE8"/>
    <w:rsid w:val="467A3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kern w:val="0"/>
      <w:sz w:val="22"/>
      <w:szCs w:val="22"/>
      <w:lang w:val="en-US" w:eastAsia="zh-CN" w:bidi="ar-SA"/>
    </w:rPr>
  </w:style>
  <w:style w:type="paragraph" w:styleId="2">
    <w:name w:val="heading 3"/>
    <w:basedOn w:val="1"/>
    <w:next w:val="1"/>
    <w:link w:val="5"/>
    <w:qFormat/>
    <w:uiPriority w:val="0"/>
    <w:pPr>
      <w:widowControl w:val="0"/>
      <w:adjustRightInd/>
      <w:snapToGrid/>
      <w:spacing w:after="0"/>
      <w:outlineLvl w:val="2"/>
    </w:pPr>
    <w:rPr>
      <w:rFonts w:hint="eastAsia" w:ascii="微软雅黑" w:hAnsi="微软雅黑" w:cs="Times New Roman"/>
      <w:sz w:val="27"/>
      <w:szCs w:val="27"/>
    </w:rPr>
  </w:style>
  <w:style w:type="character" w:default="1" w:styleId="3">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character" w:customStyle="1" w:styleId="5">
    <w:name w:val="标题 3 字符"/>
    <w:basedOn w:val="3"/>
    <w:link w:val="2"/>
    <w:uiPriority w:val="0"/>
    <w:rPr>
      <w:rFonts w:ascii="微软雅黑" w:hAnsi="微软雅黑" w:eastAsia="微软雅黑" w:cs="Times New Roman"/>
      <w:kern w:val="0"/>
      <w:sz w:val="27"/>
      <w:szCs w:val="27"/>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350</Words>
  <Characters>1997</Characters>
  <Lines>16</Lines>
  <Paragraphs>4</Paragraphs>
  <TotalTime>2</TotalTime>
  <ScaleCrop>false</ScaleCrop>
  <LinksUpToDate>false</LinksUpToDate>
  <CharactersWithSpaces>2343</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2018-07-03T07:21:00Z</dcterms:created>
  <dc:creator>zhang lichao</dc:creator>
  <cp:lastModifiedBy>边小旗</cp:lastModifiedBy>
  <dcterms:modified xsi:type="dcterms:W3CDTF">2018-07-16T07:02:16Z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