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ascii="宋体" w:hAnsi="宋体" w:eastAsia="宋体"/>
          <w:b/>
          <w:sz w:val="36"/>
          <w:szCs w:val="36"/>
        </w:rPr>
        <w:t>信息公开管理制度</w:t>
      </w:r>
    </w:p>
    <w:p>
      <w:pPr>
        <w:ind w:firstLine="440" w:firstLineChars="200"/>
      </w:pPr>
      <w:r>
        <w:rPr>
          <w:rFonts w:hint="eastAsia"/>
        </w:rPr>
        <w:t>为了进一步提升中脉公益基金会公信力建设，中脉公益基金会根据《中华人民共和国慈善法》、《基金会管理条例》、</w:t>
      </w:r>
      <w:r>
        <w:t>《基金会信息公布办法》</w:t>
      </w:r>
      <w:r>
        <w:rPr>
          <w:rFonts w:hint="eastAsia"/>
        </w:rPr>
        <w:t>、民政部关于基金会年度检查的相关规定、中基透明指数FTI等相关法律法规及《中脉公益基金会章程》，制定本基金会信息公开管理制度（以下简称本制度）。</w:t>
      </w:r>
    </w:p>
    <w:p>
      <w:pPr>
        <w:ind w:firstLine="440" w:firstLineChars="200"/>
      </w:pPr>
    </w:p>
    <w:p>
      <w:pPr>
        <w:ind w:firstLine="440" w:firstLineChars="200"/>
      </w:pPr>
      <w:r>
        <w:rPr>
          <w:rFonts w:hint="eastAsia"/>
        </w:rPr>
        <w:t>本制度适用于本基金会规范公开各项内部管理信息和业务活动信息。本基金会将根据本信息公开管理制度的要求，切实开展各项信息公开工作，满足管理机关以及社会公众对本基金会信息公开的要求，保障捐赠人和社会公众的知情权、监督权等合法权益。</w:t>
      </w:r>
    </w:p>
    <w:p>
      <w:pPr>
        <w:ind w:firstLine="440" w:firstLineChars="200"/>
      </w:pPr>
    </w:p>
    <w:p>
      <w:pPr>
        <w:pStyle w:val="13"/>
        <w:numPr>
          <w:ilvl w:val="0"/>
          <w:numId w:val="1"/>
        </w:numPr>
        <w:ind w:firstLineChars="0"/>
      </w:pPr>
      <w:r>
        <w:rPr>
          <w:rFonts w:hint="eastAsia"/>
        </w:rPr>
        <w:t>原则：</w:t>
      </w:r>
    </w:p>
    <w:p>
      <w:pPr>
        <w:pStyle w:val="13"/>
        <w:ind w:left="720" w:firstLine="0" w:firstLineChars="0"/>
      </w:pPr>
    </w:p>
    <w:p>
      <w:pPr>
        <w:ind w:left="660" w:leftChars="300"/>
      </w:pPr>
      <w:r>
        <w:t>（一）   真实性：确保公开信息的真实性，不弄虚作假。</w:t>
      </w:r>
    </w:p>
    <w:p>
      <w:pPr>
        <w:ind w:left="660" w:leftChars="300"/>
      </w:pPr>
      <w:r>
        <w:t>（二）   准确性：对信息资料内所述内容和数据保证准确，无偏差。</w:t>
      </w:r>
    </w:p>
    <w:p>
      <w:pPr>
        <w:ind w:left="660" w:leftChars="300"/>
      </w:pPr>
      <w:r>
        <w:t>（三）   完整性：所公开信息完整，无重大遗漏。</w:t>
      </w:r>
    </w:p>
    <w:p>
      <w:pPr>
        <w:ind w:left="660" w:leftChars="300"/>
      </w:pPr>
      <w:r>
        <w:t>（四）   及时性：所公开信息按规定，及时上传各类媒体予以公布。</w:t>
      </w:r>
    </w:p>
    <w:p>
      <w:pPr>
        <w:ind w:left="660" w:leftChars="300"/>
      </w:pPr>
      <w:r>
        <w:t>（五）   便捷性：公开的方式要保障捐赠人，公众以及有关单位能够方便、快捷的查阅并获取。</w:t>
      </w:r>
    </w:p>
    <w:p>
      <w:pPr>
        <w:ind w:left="660" w:leftChars="300"/>
      </w:pPr>
      <w:r>
        <w:t>（六）   尊重当事人意愿：对捐赠人和受助人不愿公开的相关信息，尊重当事人的意愿。</w:t>
      </w:r>
    </w:p>
    <w:p/>
    <w:p>
      <w:r>
        <w:rPr>
          <w:rFonts w:hint="eastAsia"/>
        </w:rPr>
        <w:t>二、公开内容：</w:t>
      </w:r>
    </w:p>
    <w:p/>
    <w:p>
      <w:r>
        <w:rPr>
          <w:rFonts w:hint="eastAsia"/>
        </w:rPr>
        <w:t>（一）、基金会基本信息、基金会财务信息、基金会项目信息、接受捐赠信息、</w:t>
      </w:r>
    </w:p>
    <w:p>
      <w:pPr>
        <w:ind w:firstLine="880" w:firstLineChars="400"/>
      </w:pPr>
      <w:r>
        <w:rPr>
          <w:rFonts w:hint="eastAsia"/>
        </w:rPr>
        <w:t>基金会资产信息</w:t>
      </w:r>
    </w:p>
    <w:p>
      <w:pPr>
        <w:ind w:firstLine="880" w:firstLineChars="400"/>
      </w:pPr>
    </w:p>
    <w:p>
      <w:pPr>
        <w:ind w:firstLine="880" w:firstLineChars="400"/>
      </w:pPr>
    </w:p>
    <w:p>
      <w:r>
        <w:rPr>
          <w:rFonts w:hint="eastAsia"/>
        </w:rPr>
        <w:t>（二）、基金会基本信息</w:t>
      </w:r>
      <w:r>
        <w:t>包括</w:t>
      </w:r>
      <w:r>
        <w:rPr>
          <w:rFonts w:hint="eastAsia"/>
        </w:rPr>
        <w:t>：</w:t>
      </w:r>
    </w:p>
    <w:p>
      <w:pPr>
        <w:ind w:left="660" w:leftChars="300"/>
      </w:pPr>
      <w:r>
        <w:t>机构名称、机构基本情况（年检情况、公募或非公募资质、评估结果、成立时间）、机构宗旨和业务范围、</w:t>
      </w:r>
      <w:r>
        <w:rPr>
          <w:rFonts w:hint="eastAsia"/>
        </w:rPr>
        <w:t>机构官网信息披露、</w:t>
      </w:r>
      <w:r>
        <w:t>办公地址、工作电话等</w:t>
      </w:r>
      <w:r>
        <w:rPr>
          <w:rFonts w:hint="eastAsia"/>
        </w:rPr>
        <w:t>。</w:t>
      </w:r>
    </w:p>
    <w:p>
      <w:r>
        <w:rPr>
          <w:rFonts w:hint="eastAsia"/>
        </w:rPr>
        <w:t>（三）、财务信息包括：</w:t>
      </w:r>
    </w:p>
    <w:p>
      <w:pPr>
        <w:ind w:left="660" w:leftChars="300"/>
      </w:pPr>
      <w:r>
        <w:fldChar w:fldCharType="begin"/>
      </w:r>
      <w:r>
        <w:instrText xml:space="preserve"> HYPERLINK "http://baike.sogou.com/lemma/ShowInnerLink.htm?lemmaId=71524468&amp;ss_c=ssc.citiao.link" \t "_blank" </w:instrText>
      </w:r>
      <w:r>
        <w:fldChar w:fldCharType="separate"/>
      </w:r>
      <w:r>
        <w:rPr>
          <w:rStyle w:val="9"/>
          <w:color w:val="auto"/>
          <w:u w:val="none"/>
        </w:rPr>
        <w:t>年度财务会计报告</w:t>
      </w:r>
      <w:r>
        <w:rPr>
          <w:rStyle w:val="9"/>
          <w:color w:val="auto"/>
          <w:u w:val="none"/>
        </w:rPr>
        <w:fldChar w:fldCharType="end"/>
      </w:r>
      <w:r>
        <w:t>（</w:t>
      </w:r>
      <w:r>
        <w:fldChar w:fldCharType="begin"/>
      </w:r>
      <w:r>
        <w:instrText xml:space="preserve"> HYPERLINK "http://baike.sogou.com/lemma/ShowInnerLink.htm?lemmaId=62606&amp;ss_c=ssc.citiao.link" \t "_blank" </w:instrText>
      </w:r>
      <w:r>
        <w:fldChar w:fldCharType="separate"/>
      </w:r>
      <w:r>
        <w:rPr>
          <w:rStyle w:val="9"/>
          <w:color w:val="auto"/>
          <w:u w:val="none"/>
        </w:rPr>
        <w:t>资产负债表</w:t>
      </w:r>
      <w:r>
        <w:rPr>
          <w:rStyle w:val="9"/>
          <w:color w:val="auto"/>
          <w:u w:val="none"/>
        </w:rPr>
        <w:fldChar w:fldCharType="end"/>
      </w:r>
      <w:r>
        <w:t>、业务活动表、</w:t>
      </w:r>
      <w:r>
        <w:fldChar w:fldCharType="begin"/>
      </w:r>
      <w:r>
        <w:instrText xml:space="preserve"> HYPERLINK "http://baike.sogou.com/lemma/ShowInnerLink.htm?lemmaId=283779&amp;ss_c=ssc.citiao.link" \t "_blank" </w:instrText>
      </w:r>
      <w:r>
        <w:fldChar w:fldCharType="separate"/>
      </w:r>
      <w:r>
        <w:rPr>
          <w:rStyle w:val="9"/>
          <w:color w:val="auto"/>
          <w:u w:val="none"/>
        </w:rPr>
        <w:t>现金流量表</w:t>
      </w:r>
      <w:r>
        <w:rPr>
          <w:rStyle w:val="9"/>
          <w:color w:val="auto"/>
          <w:u w:val="none"/>
        </w:rPr>
        <w:fldChar w:fldCharType="end"/>
      </w:r>
      <w:r>
        <w:t>、</w:t>
      </w:r>
      <w:r>
        <w:fldChar w:fldCharType="begin"/>
      </w:r>
      <w:r>
        <w:instrText xml:space="preserve"> HYPERLINK "http://baike.sogou.com/lemma/ShowInnerLink.htm?lemmaId=430668&amp;ss_c=ssc.citiao.link" \t "_blank" </w:instrText>
      </w:r>
      <w:r>
        <w:fldChar w:fldCharType="separate"/>
      </w:r>
      <w:r>
        <w:rPr>
          <w:rStyle w:val="9"/>
          <w:color w:val="auto"/>
          <w:u w:val="none"/>
        </w:rPr>
        <w:t>会计报表附注</w:t>
      </w:r>
      <w:r>
        <w:rPr>
          <w:rStyle w:val="9"/>
          <w:color w:val="auto"/>
          <w:u w:val="none"/>
        </w:rPr>
        <w:fldChar w:fldCharType="end"/>
      </w:r>
      <w:r>
        <w:t>、</w:t>
      </w:r>
      <w:r>
        <w:fldChar w:fldCharType="begin"/>
      </w:r>
      <w:r>
        <w:instrText xml:space="preserve"> HYPERLINK "http://baike.sogou.com/lemma/ShowInnerLink.htm?lemmaId=430601&amp;ss_c=ssc.citiao.link" \t "_blank" </w:instrText>
      </w:r>
      <w:r>
        <w:fldChar w:fldCharType="separate"/>
      </w:r>
      <w:r>
        <w:rPr>
          <w:rStyle w:val="9"/>
          <w:color w:val="auto"/>
          <w:u w:val="none"/>
        </w:rPr>
        <w:t>财务情况说明书</w:t>
      </w:r>
      <w:r>
        <w:rPr>
          <w:rStyle w:val="9"/>
          <w:color w:val="auto"/>
          <w:u w:val="none"/>
        </w:rPr>
        <w:fldChar w:fldCharType="end"/>
      </w:r>
      <w:r>
        <w:t>）、审计报告等</w:t>
      </w:r>
      <w:r>
        <w:rPr>
          <w:rFonts w:hint="eastAsia"/>
        </w:rPr>
        <w:t>。</w:t>
      </w:r>
    </w:p>
    <w:p>
      <w:r>
        <w:rPr>
          <w:rFonts w:hint="eastAsia"/>
        </w:rPr>
        <w:t>（四）、项目信息包括：</w:t>
      </w:r>
    </w:p>
    <w:p>
      <w:pPr>
        <w:ind w:left="660" w:leftChars="300"/>
      </w:pPr>
      <w:r>
        <w:rPr>
          <w:rFonts w:hint="eastAsia"/>
        </w:rPr>
        <w:t>资助项目、受益群体统计、项目合作方信息、项目评估报告、项目实施进展、项目进度表、资金物资使用情况、项目反馈等。</w:t>
      </w:r>
    </w:p>
    <w:p>
      <w:pPr>
        <w:rPr>
          <w:rFonts w:ascii="微软雅黑" w:hAnsi="微软雅黑"/>
        </w:rPr>
      </w:pPr>
      <w:r>
        <w:rPr>
          <w:rFonts w:hint="eastAsia"/>
        </w:rPr>
        <w:t>（五）、接</w:t>
      </w:r>
      <w:r>
        <w:rPr>
          <w:rFonts w:ascii="微软雅黑" w:hAnsi="微软雅黑"/>
        </w:rPr>
        <w:t>受捐赠信息：</w:t>
      </w:r>
    </w:p>
    <w:p>
      <w:pPr>
        <w:ind w:left="660" w:leftChars="300"/>
        <w:rPr>
          <w:rFonts w:ascii="微软雅黑" w:hAnsi="微软雅黑"/>
        </w:rPr>
      </w:pPr>
      <w:r>
        <w:rPr>
          <w:rFonts w:ascii="微软雅黑" w:hAnsi="微软雅黑"/>
        </w:rPr>
        <w:t>接受捐赠款物时间、来源、性质（定向或非定向捐赠）、内容（捐赠类型、捐赠数额）、开具捐赠收据情况。</w:t>
      </w:r>
    </w:p>
    <w:p>
      <w:r>
        <w:rPr>
          <w:rFonts w:hint="eastAsia"/>
        </w:rPr>
        <w:t>（六）、基金会资产信息：</w:t>
      </w:r>
    </w:p>
    <w:p>
      <w:pPr>
        <w:ind w:left="660" w:hanging="660" w:hangingChars="300"/>
      </w:pPr>
      <w:r>
        <w:rPr>
          <w:rFonts w:hint="eastAsia"/>
        </w:rPr>
        <w:t xml:space="preserve">          重大资产变动及投资、重大交易及资金往来、关联交易的有关信息；</w:t>
      </w:r>
    </w:p>
    <w:p>
      <w:pPr>
        <w:ind w:left="660" w:hanging="660" w:hangingChars="300"/>
      </w:pPr>
      <w:r>
        <w:rPr>
          <w:rFonts w:hint="eastAsia"/>
        </w:rPr>
        <w:t>（七）、基金会主要负责人参与活动</w:t>
      </w:r>
    </w:p>
    <w:p>
      <w:pPr>
        <w:pStyle w:val="13"/>
        <w:numPr>
          <w:ilvl w:val="0"/>
          <w:numId w:val="2"/>
        </w:numPr>
        <w:ind w:firstLineChars="0"/>
      </w:pPr>
      <w:r>
        <w:rPr>
          <w:rFonts w:hint="eastAsia"/>
        </w:rPr>
        <w:t>公开途径：</w:t>
      </w:r>
    </w:p>
    <w:p>
      <w:pPr>
        <w:pStyle w:val="13"/>
        <w:ind w:left="720" w:firstLine="0" w:firstLineChars="0"/>
      </w:pPr>
    </w:p>
    <w:p>
      <w:pPr>
        <w:ind w:left="660" w:leftChars="300"/>
      </w:pPr>
      <w:r>
        <w:rPr>
          <w:rFonts w:hint="eastAsia"/>
        </w:rPr>
        <w:t>（一）基金会官方网站：中脉公益基金会官网</w:t>
      </w:r>
    </w:p>
    <w:p>
      <w:pPr>
        <w:ind w:left="660" w:leftChars="300"/>
      </w:pPr>
      <w:r>
        <w:rPr>
          <w:rFonts w:hint="eastAsia"/>
        </w:rPr>
        <w:t>（二）基金会主办微信公众号：中脉公益基金会、中脉公益微刊</w:t>
      </w:r>
    </w:p>
    <w:p>
      <w:pPr>
        <w:ind w:left="660" w:leftChars="300"/>
      </w:pPr>
      <w:r>
        <w:rPr>
          <w:rFonts w:hint="eastAsia"/>
        </w:rPr>
        <w:t>（三）民政部认可的信息网站：慈善中国、基金会中心网、中国社会组织网等</w:t>
      </w:r>
    </w:p>
    <w:p>
      <w:pPr>
        <w:ind w:firstLine="660" w:firstLineChars="300"/>
      </w:pPr>
      <w:r>
        <w:rPr>
          <w:rFonts w:hint="eastAsia"/>
        </w:rPr>
        <w:t>（四）纸媒：公益时报等</w:t>
      </w:r>
    </w:p>
    <w:p>
      <w:pPr>
        <w:ind w:firstLine="660" w:firstLineChars="300"/>
      </w:pPr>
      <w:r>
        <w:rPr>
          <w:rFonts w:hint="eastAsia"/>
        </w:rPr>
        <w:t>（五）网络媒体：人民网、新华网等</w:t>
      </w:r>
    </w:p>
    <w:p>
      <w:pPr>
        <w:ind w:firstLine="660" w:firstLineChars="300"/>
      </w:pPr>
    </w:p>
    <w:p>
      <w:pPr>
        <w:pStyle w:val="13"/>
        <w:numPr>
          <w:ilvl w:val="0"/>
          <w:numId w:val="2"/>
        </w:numPr>
        <w:ind w:firstLineChars="0"/>
      </w:pPr>
      <w:r>
        <w:rPr>
          <w:rFonts w:hint="eastAsia"/>
        </w:rPr>
        <w:t>责任部门：</w:t>
      </w:r>
    </w:p>
    <w:p>
      <w:pPr>
        <w:pStyle w:val="13"/>
        <w:ind w:left="720" w:firstLine="0" w:firstLineChars="0"/>
      </w:pPr>
    </w:p>
    <w:p>
      <w:pPr>
        <w:ind w:left="660" w:leftChars="300" w:firstLine="110" w:firstLineChars="50"/>
      </w:pPr>
      <w:r>
        <w:rPr>
          <w:rFonts w:hint="eastAsia"/>
        </w:rPr>
        <w:t>基金会办公室为信息公开的责任部门，设专人负责信息公开的各项具体工作。</w:t>
      </w:r>
    </w:p>
    <w:p>
      <w:pPr>
        <w:ind w:left="660" w:leftChars="300" w:firstLine="110" w:firstLineChars="50"/>
      </w:pPr>
      <w:r>
        <w:br w:type="textWrapping"/>
      </w:r>
      <w:r>
        <w:rPr>
          <w:rFonts w:hint="eastAsia"/>
        </w:rPr>
        <w:t>（一）、基本信息由办公室提供信息，秘书长、理事长审批，通过后由办公室发布。</w:t>
      </w:r>
    </w:p>
    <w:p>
      <w:pPr>
        <w:ind w:left="660" w:leftChars="300"/>
      </w:pPr>
      <w:r>
        <w:rPr>
          <w:rFonts w:hint="eastAsia"/>
        </w:rPr>
        <w:t>（二）、财务信息由财务部提供信息，秘书长、理事长审批，通过后由办公室发布。</w:t>
      </w:r>
    </w:p>
    <w:p>
      <w:pPr>
        <w:ind w:left="660" w:leftChars="300"/>
      </w:pPr>
      <w:r>
        <w:rPr>
          <w:rFonts w:hint="eastAsia"/>
        </w:rPr>
        <w:t>（三）、项目信息、资产信息由项目部提供信息，秘书长、理事长审批，通过后由办公室发布。</w:t>
      </w:r>
    </w:p>
    <w:p>
      <w:pPr>
        <w:ind w:left="660" w:leftChars="300"/>
      </w:pPr>
      <w:r>
        <w:rPr>
          <w:rFonts w:hint="eastAsia"/>
        </w:rPr>
        <w:t>（四）、接受捐赠信息由各部门协作提供信息，秘书长、理事长审批，通过后由办公室发布。</w:t>
      </w:r>
    </w:p>
    <w:p>
      <w:pPr>
        <w:ind w:left="660" w:leftChars="300"/>
      </w:pPr>
    </w:p>
    <w:p>
      <w:pPr>
        <w:pStyle w:val="13"/>
        <w:numPr>
          <w:ilvl w:val="0"/>
          <w:numId w:val="2"/>
        </w:numPr>
        <w:ind w:firstLineChars="0"/>
      </w:pPr>
      <w:r>
        <w:rPr>
          <w:rFonts w:hint="eastAsia"/>
        </w:rPr>
        <w:t>信息公开及时性：</w:t>
      </w:r>
    </w:p>
    <w:p>
      <w:pPr>
        <w:pStyle w:val="13"/>
        <w:ind w:left="720" w:firstLine="0" w:firstLineChars="0"/>
      </w:pPr>
    </w:p>
    <w:p>
      <w:pPr>
        <w:ind w:left="660" w:leftChars="300"/>
        <w:rPr>
          <w:rFonts w:ascii="微软雅黑" w:hAnsi="微软雅黑"/>
        </w:rPr>
      </w:pPr>
      <w:r>
        <w:rPr>
          <w:rFonts w:hint="eastAsia"/>
        </w:rPr>
        <w:t>（一）、</w:t>
      </w:r>
      <w:r>
        <w:rPr>
          <w:rFonts w:hint="eastAsia" w:ascii="微软雅黑" w:hAnsi="微软雅黑"/>
        </w:rPr>
        <w:t>基金会基本信息变动、基金会项目进展、日常性捐赠信息、重大资产变动及投资、重大交易及资金往来、关联交易等。通过基金会主办的官方微信（中脉公益基金会）以月度简报的形式进行公示。</w:t>
      </w:r>
    </w:p>
    <w:p>
      <w:pPr>
        <w:pStyle w:val="5"/>
        <w:widowControl/>
        <w:spacing w:beforeAutospacing="0" w:afterAutospacing="0"/>
        <w:ind w:left="660" w:leftChars="300"/>
        <w:rPr>
          <w:rFonts w:ascii="微软雅黑" w:hAnsi="微软雅黑" w:eastAsia="微软雅黑"/>
          <w:sz w:val="22"/>
          <w:szCs w:val="22"/>
        </w:rPr>
      </w:pPr>
      <w:r>
        <w:rPr>
          <w:rFonts w:hint="eastAsia" w:ascii="微软雅黑" w:hAnsi="微软雅黑" w:eastAsia="微软雅黑"/>
          <w:sz w:val="22"/>
          <w:szCs w:val="22"/>
        </w:rPr>
        <w:t>（二）、每年3月31日前，向登记管理机关报送上一年度财务审计报告。在登记机关审查通过后30日内，在登记管理机关指定的媒体上公示全文和摘要。未经审计的财务工作报告不得公开。</w:t>
      </w:r>
    </w:p>
    <w:p>
      <w:pPr>
        <w:pStyle w:val="5"/>
        <w:widowControl/>
        <w:spacing w:beforeAutospacing="0" w:afterAutospacing="0"/>
        <w:ind w:left="660" w:leftChars="300"/>
        <w:rPr>
          <w:rFonts w:ascii="微软雅黑" w:hAnsi="微软雅黑" w:eastAsia="微软雅黑"/>
          <w:sz w:val="22"/>
          <w:szCs w:val="22"/>
        </w:rPr>
      </w:pPr>
      <w:r>
        <w:rPr>
          <w:rFonts w:hint="eastAsia" w:ascii="微软雅黑" w:hAnsi="微软雅黑" w:eastAsia="微软雅黑"/>
          <w:sz w:val="22"/>
          <w:szCs w:val="22"/>
        </w:rPr>
        <w:t>（三）、基金会主要负责人参加活动，当天通过微信公众号进行公布。</w:t>
      </w:r>
    </w:p>
    <w:p>
      <w:r>
        <w:rPr>
          <w:rFonts w:hint="eastAsia"/>
        </w:rPr>
        <w:t>六、</w:t>
      </w:r>
      <w:r>
        <w:t>对于上述公开信息范围中公开捐赠人和受益人的信息需征得当事人同意或事先进行约定。</w:t>
      </w:r>
    </w:p>
    <w:p/>
    <w:p>
      <w:r>
        <w:rPr>
          <w:rFonts w:hint="eastAsia"/>
        </w:rPr>
        <w:t>七、</w:t>
      </w:r>
      <w:r>
        <w:t>对于公共媒体上出现的对本会造成或者可能造成不利影响的消息，本会应核实信息真伪，对公众要求回应的内容予以公开说明。</w:t>
      </w:r>
    </w:p>
    <w:p/>
    <w:p>
      <w:bookmarkStart w:id="0" w:name="_GoBack"/>
      <w:bookmarkEnd w:id="0"/>
    </w:p>
    <w:sectPr>
      <w:head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97885"/>
    <w:multiLevelType w:val="multilevel"/>
    <w:tmpl w:val="26497885"/>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1F38A7"/>
    <w:multiLevelType w:val="multilevel"/>
    <w:tmpl w:val="6C1F38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TI5NWEyNTUzYmIzNzQwN2VhNDJhYzYwOGQ2NzVlZjIifQ=="/>
  </w:docVars>
  <w:rsids>
    <w:rsidRoot w:val="00D31D50"/>
    <w:rsid w:val="000023DB"/>
    <w:rsid w:val="000139E1"/>
    <w:rsid w:val="00091806"/>
    <w:rsid w:val="000A494D"/>
    <w:rsid w:val="000B0F11"/>
    <w:rsid w:val="000C2518"/>
    <w:rsid w:val="000F350F"/>
    <w:rsid w:val="00103A7F"/>
    <w:rsid w:val="00107011"/>
    <w:rsid w:val="001439EC"/>
    <w:rsid w:val="00181288"/>
    <w:rsid w:val="001B4B36"/>
    <w:rsid w:val="001B6C14"/>
    <w:rsid w:val="001C612A"/>
    <w:rsid w:val="00257B4A"/>
    <w:rsid w:val="0026634C"/>
    <w:rsid w:val="00307DB2"/>
    <w:rsid w:val="00323B43"/>
    <w:rsid w:val="00386E7C"/>
    <w:rsid w:val="00397C6A"/>
    <w:rsid w:val="003D37D8"/>
    <w:rsid w:val="00401F43"/>
    <w:rsid w:val="004247EB"/>
    <w:rsid w:val="00426133"/>
    <w:rsid w:val="0043395D"/>
    <w:rsid w:val="004358AB"/>
    <w:rsid w:val="00455862"/>
    <w:rsid w:val="004A5284"/>
    <w:rsid w:val="00540C03"/>
    <w:rsid w:val="005538D1"/>
    <w:rsid w:val="00565F0B"/>
    <w:rsid w:val="005759CF"/>
    <w:rsid w:val="00581D86"/>
    <w:rsid w:val="00583AA7"/>
    <w:rsid w:val="005D1AE5"/>
    <w:rsid w:val="005D1D90"/>
    <w:rsid w:val="005E34C5"/>
    <w:rsid w:val="005F4583"/>
    <w:rsid w:val="0064047A"/>
    <w:rsid w:val="006D036D"/>
    <w:rsid w:val="006D7A1F"/>
    <w:rsid w:val="007166FB"/>
    <w:rsid w:val="00723E2C"/>
    <w:rsid w:val="00734CC8"/>
    <w:rsid w:val="00741304"/>
    <w:rsid w:val="007571E6"/>
    <w:rsid w:val="00791700"/>
    <w:rsid w:val="00805C8D"/>
    <w:rsid w:val="00812490"/>
    <w:rsid w:val="008156C7"/>
    <w:rsid w:val="00835AC8"/>
    <w:rsid w:val="00837FA5"/>
    <w:rsid w:val="008B63C6"/>
    <w:rsid w:val="008B7726"/>
    <w:rsid w:val="008C0890"/>
    <w:rsid w:val="008C1B71"/>
    <w:rsid w:val="008C7B35"/>
    <w:rsid w:val="008D3765"/>
    <w:rsid w:val="0090047B"/>
    <w:rsid w:val="00931D2D"/>
    <w:rsid w:val="00934E01"/>
    <w:rsid w:val="00940E9E"/>
    <w:rsid w:val="009826BE"/>
    <w:rsid w:val="009966C6"/>
    <w:rsid w:val="00A13622"/>
    <w:rsid w:val="00A169B7"/>
    <w:rsid w:val="00A45EBD"/>
    <w:rsid w:val="00A520C6"/>
    <w:rsid w:val="00A96AA7"/>
    <w:rsid w:val="00AB1729"/>
    <w:rsid w:val="00AD26CD"/>
    <w:rsid w:val="00AE47CB"/>
    <w:rsid w:val="00B426F3"/>
    <w:rsid w:val="00B801B4"/>
    <w:rsid w:val="00BF1B43"/>
    <w:rsid w:val="00CC59A7"/>
    <w:rsid w:val="00D31D50"/>
    <w:rsid w:val="00D43282"/>
    <w:rsid w:val="00DC16F8"/>
    <w:rsid w:val="00E001E0"/>
    <w:rsid w:val="00E21E27"/>
    <w:rsid w:val="00E251D1"/>
    <w:rsid w:val="00E3057F"/>
    <w:rsid w:val="00EB0810"/>
    <w:rsid w:val="00ED12F0"/>
    <w:rsid w:val="00ED5F19"/>
    <w:rsid w:val="00EE6613"/>
    <w:rsid w:val="00EF539C"/>
    <w:rsid w:val="00F10C6D"/>
    <w:rsid w:val="00F30EA8"/>
    <w:rsid w:val="00F6646F"/>
    <w:rsid w:val="00F910D7"/>
    <w:rsid w:val="00F97708"/>
    <w:rsid w:val="00FB148C"/>
    <w:rsid w:val="00FB6770"/>
    <w:rsid w:val="3025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after="0"/>
    </w:pPr>
    <w:rPr>
      <w:sz w:val="18"/>
      <w:szCs w:val="18"/>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iPriority w:val="0"/>
    <w:pPr>
      <w:widowControl w:val="0"/>
      <w:adjustRightInd/>
      <w:snapToGrid/>
      <w:spacing w:beforeAutospacing="1" w:after="0" w:afterAutospacing="1"/>
    </w:pPr>
    <w:rPr>
      <w:rFonts w:cs="Times New Roman" w:asciiTheme="minorHAnsi" w:hAnsiTheme="minorHAnsi" w:eastAsiaTheme="minorEastAsia"/>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0">
    <w:name w:val="页眉 Char"/>
    <w:basedOn w:val="7"/>
    <w:link w:val="4"/>
    <w:semiHidden/>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 w:type="character" w:customStyle="1" w:styleId="12">
    <w:name w:val="批注框文本 Char"/>
    <w:basedOn w:val="7"/>
    <w:link w:val="2"/>
    <w:semiHidden/>
    <w:uiPriority w:val="99"/>
    <w:rPr>
      <w:rFonts w:ascii="Tahoma" w:hAnsi="Tahoma"/>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F53C74-49E3-4B22-9DAB-BD031EA9EB2F}">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312</Words>
  <Characters>1784</Characters>
  <Lines>14</Lines>
  <Paragraphs>4</Paragraphs>
  <TotalTime>705</TotalTime>
  <ScaleCrop>false</ScaleCrop>
  <LinksUpToDate>false</LinksUpToDate>
  <CharactersWithSpaces>2092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欧皇只</cp:lastModifiedBy>
  <dcterms:modified xsi:type="dcterms:W3CDTF">2024-05-30T03:00:45Z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9A3CD6B9D3FF4CCB81DD57F6B67F0ADE_12</vt:lpwstr>
  </property>
</Properties>
</file>